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Задача (и):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 Гражданка Белоруссии вступила в брак с гражданином России. Брак был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зарегистрирован в г. Минске, где супруги и проживали все время. Во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время военного конфликта в Абхазии супруг пропал без вести. Супруга и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ее дети хотят признать его умершим.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В учреждение какого государства Вы бы посоветовали им обратиться?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Какое право подлежит применению?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Задача (и):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-Г-н Михель, владелец бизнеса в Гамбурге, намерен осуществлять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предпринимательскую деятельность в ряде других стран, в том числе в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Алжире, Хорватии, Кипре, России, Китае, Украине, Азербайджане и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Великобритании. Товарный знак, владельцем которого является г-н Михель,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зарегистрирован в ФРГ.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 Какие действия необходимо предпринять, чтобы получить охрану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товарного знака в нескольких государствах? Охраняется ли товарный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знак, зарегистрированный в Германии, за рубежом? Какой способ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получения охраны товарного знака в названных странах Вы считаете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наиболее целесообразным?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С учетом того, что ФРГ является государством-участником Мадридского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соглашения о международной регистрации знаков и Протокола к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Мадридскому соглашению, верно ли утверждение о том, что товарный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знак автоматически получает правовую охрану на международном уровне?</w:t>
      </w: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</w:p>
    <w:p>
      <w:pPr>
        <w:spacing w:lineRule="auto" w:line="259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Может ли г-н Михель воспользоваться в данном случае преимуществами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Мадридской системы? Если да, то поясните механизм использования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 xml:space="preserve">Мадридской системы для получения охраны товарных знаков в разных </w:t>
      </w:r>
      <w:r>
        <w:rPr>
          <w:color w:val="auto"/>
          <w:sz w:val="22"/>
          <w:szCs w:val="22"/>
          <w:rFonts w:ascii="NanumGothic" w:eastAsia="NanumGothic" w:hAnsi="NanumGothic" w:cs="NanumGothic"/>
        </w:rPr>
        <w:t>странах.</w: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471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2"/>
        <w:szCs w:val="22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59"/>
      <w:rPr/>
      <w:autoSpaceDE w:val="0"/>
      <w:autoSpaceDN w:val="0"/>
    </w:pPr>
    <w:rPr>
      <w:color w:val="auto"/>
      <w:sz w:val="22"/>
      <w:szCs w:val="22"/>
      <w:rFonts w:ascii="NanumGothic" w:eastAsia="NanumGothic" w:hAnsi="NanumGothic" w:cs="NanumGothic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2"/>
      <w:szCs w:val="22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</Pages>
  <Paragraphs>0</Paragraphs>
  <Words>186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Polaris Office</dc:creator>
  <cp:lastModifiedBy>Polaris Office</cp:lastModifiedBy>
</cp:coreProperties>
</file>